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51740F" w:rsidRPr="00DF36C9" w:rsidTr="00DF36C9">
        <w:tc>
          <w:tcPr>
            <w:tcW w:w="9396" w:type="dxa"/>
            <w:shd w:val="clear" w:color="auto" w:fill="FFC000"/>
          </w:tcPr>
          <w:p w:rsidR="0051740F" w:rsidRPr="00DF36C9" w:rsidRDefault="0051740F" w:rsidP="00DF36C9">
            <w:pPr>
              <w:jc w:val="center"/>
              <w:rPr>
                <w:rFonts w:ascii="Times New Roman" w:hAnsi="Times New Roman" w:cs="Times New Roman"/>
                <w:b/>
                <w:sz w:val="24"/>
                <w:szCs w:val="24"/>
              </w:rPr>
            </w:pPr>
            <w:r w:rsidRPr="00DF36C9">
              <w:rPr>
                <w:rFonts w:ascii="Times New Roman" w:hAnsi="Times New Roman" w:cs="Times New Roman"/>
                <w:b/>
                <w:sz w:val="24"/>
                <w:szCs w:val="24"/>
              </w:rPr>
              <w:t>Principality of Galilee</w:t>
            </w:r>
          </w:p>
        </w:tc>
      </w:tr>
      <w:tr w:rsidR="0051740F" w:rsidRPr="0051740F" w:rsidTr="0051740F">
        <w:tc>
          <w:tcPr>
            <w:tcW w:w="9396" w:type="dxa"/>
            <w:shd w:val="clear" w:color="auto" w:fill="FFFF00"/>
          </w:tcPr>
          <w:tbl>
            <w:tblPr>
              <w:tblW w:w="5735" w:type="dxa"/>
              <w:jc w:val="center"/>
              <w:tblCellSpacing w:w="15" w:type="dxa"/>
              <w:tblCellMar>
                <w:top w:w="15" w:type="dxa"/>
                <w:left w:w="15" w:type="dxa"/>
                <w:bottom w:w="15" w:type="dxa"/>
                <w:right w:w="15" w:type="dxa"/>
              </w:tblCellMar>
              <w:tblLook w:val="04A0" w:firstRow="1" w:lastRow="0" w:firstColumn="1" w:lastColumn="0" w:noHBand="0" w:noVBand="1"/>
            </w:tblPr>
            <w:tblGrid>
              <w:gridCol w:w="2247"/>
              <w:gridCol w:w="4105"/>
            </w:tblGrid>
            <w:tr w:rsidR="0051740F" w:rsidRPr="0051740F" w:rsidTr="00DF36C9">
              <w:trPr>
                <w:tblCellSpacing w:w="15" w:type="dxa"/>
                <w:jc w:val="center"/>
              </w:trPr>
              <w:tc>
                <w:tcPr>
                  <w:tcW w:w="0" w:type="auto"/>
                  <w:gridSpan w:val="2"/>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DF36C9">
                  <w:pPr>
                    <w:pStyle w:val="NoSpacing"/>
                    <w:jc w:val="center"/>
                    <w:rPr>
                      <w:rFonts w:ascii="Times New Roman" w:hAnsi="Times New Roman" w:cs="Times New Roman"/>
                      <w:sz w:val="24"/>
                      <w:szCs w:val="24"/>
                    </w:rPr>
                  </w:pPr>
                  <w:r w:rsidRPr="0051740F">
                    <w:rPr>
                      <w:rFonts w:ascii="Times New Roman" w:hAnsi="Times New Roman" w:cs="Times New Roman"/>
                      <w:sz w:val="24"/>
                      <w:szCs w:val="24"/>
                    </w:rPr>
                    <w:t>Principality of Galilee</w:t>
                  </w:r>
                </w:p>
              </w:tc>
            </w:tr>
            <w:tr w:rsidR="0051740F" w:rsidRPr="0051740F" w:rsidTr="00DF36C9">
              <w:trPr>
                <w:tblCellSpacing w:w="15" w:type="dxa"/>
                <w:jc w:val="center"/>
              </w:trPr>
              <w:tc>
                <w:tcPr>
                  <w:tcW w:w="0" w:type="auto"/>
                  <w:gridSpan w:val="2"/>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DF36C9">
                  <w:pPr>
                    <w:pStyle w:val="NoSpacing"/>
                    <w:jc w:val="center"/>
                    <w:rPr>
                      <w:rFonts w:ascii="Times New Roman" w:hAnsi="Times New Roman" w:cs="Times New Roman"/>
                      <w:sz w:val="24"/>
                      <w:szCs w:val="24"/>
                    </w:rPr>
                  </w:pPr>
                  <w:r w:rsidRPr="0051740F">
                    <w:rPr>
                      <w:rFonts w:ascii="Times New Roman" w:hAnsi="Times New Roman" w:cs="Times New Roman"/>
                      <w:sz w:val="24"/>
                      <w:szCs w:val="24"/>
                    </w:rPr>
                    <w:t>1099–1187</w:t>
                  </w:r>
                </w:p>
              </w:tc>
            </w:tr>
            <w:tr w:rsidR="0051740F" w:rsidRPr="0051740F" w:rsidTr="00DF36C9">
              <w:trPr>
                <w:tblCellSpacing w:w="15" w:type="dxa"/>
                <w:jc w:val="center"/>
              </w:trPr>
              <w:tc>
                <w:tcPr>
                  <w:tcW w:w="0" w:type="auto"/>
                  <w:gridSpan w:val="2"/>
                  <w:tcBorders>
                    <w:top w:val="single" w:sz="6" w:space="0" w:color="A2A9B1"/>
                  </w:tcBorders>
                  <w:shd w:val="clear" w:color="auto" w:fill="92D050"/>
                  <w:tcMar>
                    <w:top w:w="120" w:type="dxa"/>
                    <w:left w:w="0" w:type="dxa"/>
                    <w:bottom w:w="120" w:type="dxa"/>
                    <w:right w:w="0" w:type="dxa"/>
                  </w:tcMar>
                  <w:hideMark/>
                </w:tcPr>
                <w:p w:rsidR="0051740F" w:rsidRPr="0051740F" w:rsidRDefault="0051740F" w:rsidP="00DF36C9">
                  <w:pPr>
                    <w:pStyle w:val="NoSpacing"/>
                    <w:jc w:val="center"/>
                    <w:rPr>
                      <w:rFonts w:ascii="Times New Roman" w:hAnsi="Times New Roman" w:cs="Times New Roman"/>
                      <w:sz w:val="24"/>
                      <w:szCs w:val="24"/>
                    </w:rPr>
                  </w:pPr>
                  <w:r w:rsidRPr="0051740F">
                    <w:rPr>
                      <w:rFonts w:ascii="Times New Roman" w:hAnsi="Times New Roman" w:cs="Times New Roman"/>
                      <w:noProof/>
                      <w:sz w:val="24"/>
                      <w:szCs w:val="24"/>
                    </w:rPr>
                    <w:drawing>
                      <wp:inline distT="0" distB="0" distL="0" distR="0" wp14:anchorId="21566630" wp14:editId="48183BA6">
                        <wp:extent cx="1190625" cy="790575"/>
                        <wp:effectExtent l="0" t="0" r="9525" b="9525"/>
                        <wp:docPr id="51" name="Picture 51" descr="Flag of Gali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lag of Galilee">
                                  <a:hlinkClick r:id="rId7" tooltip="&quot;Flag of Galile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inline>
                    </w:drawing>
                  </w:r>
                </w:p>
                <w:p w:rsidR="0051740F" w:rsidRPr="0051740F" w:rsidRDefault="0051740F" w:rsidP="00DF36C9">
                  <w:pPr>
                    <w:pStyle w:val="NoSpacing"/>
                    <w:jc w:val="center"/>
                    <w:rPr>
                      <w:rFonts w:ascii="Times New Roman" w:hAnsi="Times New Roman" w:cs="Times New Roman"/>
                      <w:sz w:val="24"/>
                      <w:szCs w:val="24"/>
                    </w:rPr>
                  </w:pPr>
                  <w:r w:rsidRPr="0051740F">
                    <w:rPr>
                      <w:rFonts w:ascii="Times New Roman" w:hAnsi="Times New Roman" w:cs="Times New Roman"/>
                      <w:sz w:val="24"/>
                      <w:szCs w:val="24"/>
                    </w:rPr>
                    <w:t>Flag</w:t>
                  </w:r>
                </w:p>
              </w:tc>
            </w:tr>
            <w:tr w:rsidR="0051740F" w:rsidRPr="0051740F" w:rsidTr="00DF36C9">
              <w:trPr>
                <w:tblCellSpacing w:w="15" w:type="dxa"/>
                <w:jc w:val="center"/>
              </w:trPr>
              <w:tc>
                <w:tcPr>
                  <w:tcW w:w="0" w:type="auto"/>
                  <w:gridSpan w:val="2"/>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DF36C9">
                  <w:pPr>
                    <w:pStyle w:val="NoSpacing"/>
                    <w:jc w:val="center"/>
                    <w:rPr>
                      <w:rFonts w:ascii="Times New Roman" w:hAnsi="Times New Roman" w:cs="Times New Roman"/>
                      <w:sz w:val="24"/>
                      <w:szCs w:val="24"/>
                    </w:rPr>
                  </w:pPr>
                  <w:r w:rsidRPr="0051740F">
                    <w:rPr>
                      <w:rFonts w:ascii="Times New Roman" w:hAnsi="Times New Roman" w:cs="Times New Roman"/>
                      <w:noProof/>
                      <w:sz w:val="24"/>
                      <w:szCs w:val="24"/>
                    </w:rPr>
                    <w:drawing>
                      <wp:inline distT="0" distB="0" distL="0" distR="0" wp14:anchorId="0A9AFDEE" wp14:editId="057C4959">
                        <wp:extent cx="2381250" cy="1571625"/>
                        <wp:effectExtent l="0" t="0" r="0" b="9525"/>
                        <wp:docPr id="52" name="Picture 52" descr="Galilee in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alilee in 1187">
                                  <a:hlinkClick r:id="rId9" tooltip="&quot;Galilee in 1187&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571625"/>
                                </a:xfrm>
                                <a:prstGeom prst="rect">
                                  <a:avLst/>
                                </a:prstGeom>
                                <a:noFill/>
                                <a:ln>
                                  <a:noFill/>
                                </a:ln>
                              </pic:spPr>
                            </pic:pic>
                          </a:graphicData>
                        </a:graphic>
                      </wp:inline>
                    </w:drawing>
                  </w:r>
                </w:p>
                <w:p w:rsidR="0051740F" w:rsidRPr="0051740F" w:rsidRDefault="0051740F" w:rsidP="00DF36C9">
                  <w:pPr>
                    <w:pStyle w:val="NoSpacing"/>
                    <w:jc w:val="center"/>
                    <w:rPr>
                      <w:rFonts w:ascii="Times New Roman" w:hAnsi="Times New Roman" w:cs="Times New Roman"/>
                      <w:sz w:val="24"/>
                      <w:szCs w:val="24"/>
                    </w:rPr>
                  </w:pPr>
                  <w:r w:rsidRPr="0051740F">
                    <w:rPr>
                      <w:rFonts w:ascii="Times New Roman" w:hAnsi="Times New Roman" w:cs="Times New Roman"/>
                      <w:sz w:val="24"/>
                      <w:szCs w:val="24"/>
                    </w:rPr>
                    <w:t>Galilee in 1187</w:t>
                  </w:r>
                </w:p>
              </w:tc>
            </w:tr>
            <w:tr w:rsidR="0051740F" w:rsidRPr="0051740F" w:rsidTr="00DF36C9">
              <w:trPr>
                <w:tblCellSpacing w:w="15" w:type="dxa"/>
                <w:jc w:val="center"/>
              </w:trPr>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Status</w:t>
                  </w:r>
                </w:p>
              </w:tc>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Vassal of Kingdom of Jerusalem</w:t>
                  </w:r>
                </w:p>
              </w:tc>
            </w:tr>
            <w:tr w:rsidR="0051740F" w:rsidRPr="0051740F" w:rsidTr="00DF36C9">
              <w:trPr>
                <w:tblCellSpacing w:w="15" w:type="dxa"/>
                <w:jc w:val="center"/>
              </w:trPr>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Capital</w:t>
                  </w:r>
                </w:p>
              </w:tc>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Tiberias</w:t>
                  </w:r>
                </w:p>
              </w:tc>
            </w:tr>
            <w:tr w:rsidR="0051740F" w:rsidRPr="0051740F" w:rsidTr="00DF36C9">
              <w:trPr>
                <w:tblCellSpacing w:w="15" w:type="dxa"/>
                <w:jc w:val="center"/>
              </w:trPr>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Common languages</w:t>
                  </w:r>
                </w:p>
              </w:tc>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Latin, Old French, Italian (also Arabic and Greek)</w:t>
                  </w:r>
                </w:p>
              </w:tc>
            </w:tr>
            <w:tr w:rsidR="0051740F" w:rsidRPr="0051740F" w:rsidTr="00DF36C9">
              <w:trPr>
                <w:tblCellSpacing w:w="15" w:type="dxa"/>
                <w:jc w:val="center"/>
              </w:trPr>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Religion</w:t>
                  </w:r>
                </w:p>
              </w:tc>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Roman Catholicism, Greek Orthodoxy, Syriac Orthodoxy, Islam, Judaism</w:t>
                  </w:r>
                </w:p>
              </w:tc>
            </w:tr>
            <w:tr w:rsidR="0051740F" w:rsidRPr="0051740F" w:rsidTr="00DF36C9">
              <w:trPr>
                <w:tblCellSpacing w:w="15" w:type="dxa"/>
                <w:jc w:val="center"/>
              </w:trPr>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Government</w:t>
                  </w:r>
                </w:p>
              </w:tc>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Feudal monarchy</w:t>
                  </w:r>
                </w:p>
              </w:tc>
            </w:tr>
            <w:tr w:rsidR="0051740F" w:rsidRPr="0051740F" w:rsidTr="00DF36C9">
              <w:trPr>
                <w:tblCellSpacing w:w="15" w:type="dxa"/>
                <w:jc w:val="center"/>
              </w:trPr>
              <w:tc>
                <w:tcPr>
                  <w:tcW w:w="0" w:type="auto"/>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Prince</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 </w:t>
                  </w:r>
                </w:p>
              </w:tc>
            </w:tr>
            <w:tr w:rsidR="0051740F" w:rsidRPr="0051740F" w:rsidTr="00DF36C9">
              <w:trPr>
                <w:tblCellSpacing w:w="15" w:type="dxa"/>
                <w:jc w:val="center"/>
              </w:trPr>
              <w:tc>
                <w:tcPr>
                  <w:tcW w:w="0" w:type="auto"/>
                  <w:gridSpan w:val="2"/>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p>
              </w:tc>
            </w:tr>
            <w:tr w:rsidR="0051740F" w:rsidRPr="0051740F" w:rsidTr="00DF36C9">
              <w:trPr>
                <w:tblCellSpacing w:w="15" w:type="dxa"/>
                <w:jc w:val="center"/>
              </w:trPr>
              <w:tc>
                <w:tcPr>
                  <w:tcW w:w="0" w:type="auto"/>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 1099–1101</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Tancred</w:t>
                  </w:r>
                </w:p>
              </w:tc>
            </w:tr>
            <w:tr w:rsidR="0051740F" w:rsidRPr="0051740F" w:rsidTr="00DF36C9">
              <w:trPr>
                <w:tblCellSpacing w:w="15" w:type="dxa"/>
                <w:jc w:val="center"/>
              </w:trPr>
              <w:tc>
                <w:tcPr>
                  <w:tcW w:w="0" w:type="auto"/>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 1174–1187</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Raymond III</w:t>
                  </w:r>
                </w:p>
              </w:tc>
            </w:tr>
            <w:tr w:rsidR="0051740F" w:rsidRPr="0051740F" w:rsidTr="00DF36C9">
              <w:trPr>
                <w:tblCellSpacing w:w="15" w:type="dxa"/>
                <w:jc w:val="center"/>
              </w:trPr>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Historical era</w:t>
                  </w:r>
                </w:p>
              </w:tc>
              <w:tc>
                <w:tcPr>
                  <w:tcW w:w="0" w:type="auto"/>
                  <w:tcBorders>
                    <w:top w:val="single" w:sz="6" w:space="0" w:color="A2A9B1"/>
                  </w:tcBorders>
                  <w:shd w:val="clear" w:color="auto" w:fill="92D050"/>
                  <w:tcMar>
                    <w:top w:w="96" w:type="dxa"/>
                    <w:left w:w="144" w:type="dxa"/>
                    <w:bottom w:w="96"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High Middle Ages</w:t>
                  </w:r>
                </w:p>
              </w:tc>
            </w:tr>
            <w:tr w:rsidR="0051740F" w:rsidRPr="0051740F" w:rsidTr="00DF36C9">
              <w:trPr>
                <w:tblCellSpacing w:w="15" w:type="dxa"/>
                <w:jc w:val="center"/>
              </w:trPr>
              <w:tc>
                <w:tcPr>
                  <w:tcW w:w="0" w:type="auto"/>
                  <w:gridSpan w:val="2"/>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p>
              </w:tc>
            </w:tr>
            <w:tr w:rsidR="0051740F" w:rsidRPr="0051740F" w:rsidTr="00DF36C9">
              <w:trPr>
                <w:tblCellSpacing w:w="15" w:type="dxa"/>
                <w:jc w:val="center"/>
              </w:trPr>
              <w:tc>
                <w:tcPr>
                  <w:tcW w:w="0" w:type="auto"/>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 First Crusade</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1099</w:t>
                  </w:r>
                </w:p>
              </w:tc>
            </w:tr>
            <w:tr w:rsidR="0051740F" w:rsidRPr="0051740F" w:rsidTr="00DF36C9">
              <w:trPr>
                <w:tblCellSpacing w:w="15" w:type="dxa"/>
                <w:jc w:val="center"/>
              </w:trPr>
              <w:tc>
                <w:tcPr>
                  <w:tcW w:w="0" w:type="auto"/>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 Conquered by Saladin</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1187</w:t>
                  </w:r>
                </w:p>
              </w:tc>
            </w:tr>
            <w:tr w:rsidR="0051740F" w:rsidRPr="0051740F" w:rsidTr="00DF36C9">
              <w:trPr>
                <w:tblCellSpacing w:w="15" w:type="dxa"/>
                <w:jc w:val="center"/>
              </w:trPr>
              <w:tc>
                <w:tcPr>
                  <w:tcW w:w="0" w:type="auto"/>
                  <w:gridSpan w:val="2"/>
                  <w:tcBorders>
                    <w:top w:val="single" w:sz="6" w:space="0" w:color="A2A9B1"/>
                  </w:tcBorders>
                  <w:shd w:val="clear" w:color="auto" w:fill="92D050"/>
                  <w:tcMar>
                    <w:top w:w="96" w:type="dxa"/>
                    <w:left w:w="144" w:type="dxa"/>
                    <w:bottom w:w="96" w:type="dxa"/>
                    <w:right w:w="144" w:type="dxa"/>
                  </w:tcMar>
                  <w:hideMark/>
                </w:tcPr>
                <w:tbl>
                  <w:tblPr>
                    <w:tblW w:w="4145" w:type="dxa"/>
                    <w:jc w:val="center"/>
                    <w:tblCellSpacing w:w="15" w:type="dxa"/>
                    <w:tblCellMar>
                      <w:top w:w="15" w:type="dxa"/>
                      <w:left w:w="15" w:type="dxa"/>
                      <w:bottom w:w="15" w:type="dxa"/>
                      <w:right w:w="15" w:type="dxa"/>
                    </w:tblCellMar>
                    <w:tblLook w:val="04A0" w:firstRow="1" w:lastRow="0" w:firstColumn="1" w:lastColumn="0" w:noHBand="0" w:noVBand="1"/>
                  </w:tblPr>
                  <w:tblGrid>
                    <w:gridCol w:w="2203"/>
                    <w:gridCol w:w="1942"/>
                  </w:tblGrid>
                  <w:tr w:rsidR="0051740F" w:rsidRPr="0051740F">
                    <w:trPr>
                      <w:tblCellSpacing w:w="15" w:type="dxa"/>
                      <w:jc w:val="center"/>
                    </w:trPr>
                    <w:tc>
                      <w:tcPr>
                        <w:tcW w:w="0" w:type="auto"/>
                        <w:tcBorders>
                          <w:top w:val="nil"/>
                          <w:left w:val="nil"/>
                          <w:bottom w:val="nil"/>
                          <w:right w:val="nil"/>
                        </w:tcBorders>
                        <w:shd w:val="clear" w:color="auto" w:fill="auto"/>
                        <w:tcMar>
                          <w:top w:w="96" w:type="dxa"/>
                          <w:left w:w="144" w:type="dxa"/>
                          <w:bottom w:w="0"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Preceded by</w:t>
                        </w:r>
                      </w:p>
                    </w:tc>
                    <w:tc>
                      <w:tcPr>
                        <w:tcW w:w="0" w:type="auto"/>
                        <w:tcBorders>
                          <w:top w:val="nil"/>
                          <w:left w:val="nil"/>
                          <w:bottom w:val="nil"/>
                          <w:right w:val="nil"/>
                        </w:tcBorders>
                        <w:shd w:val="clear" w:color="auto" w:fill="auto"/>
                        <w:tcMar>
                          <w:top w:w="96" w:type="dxa"/>
                          <w:left w:w="144" w:type="dxa"/>
                          <w:bottom w:w="0" w:type="dxa"/>
                          <w:right w:w="144" w:type="dxa"/>
                        </w:tcMa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Succeeded by</w:t>
                        </w:r>
                      </w:p>
                    </w:tc>
                  </w:tr>
                  <w:tr w:rsidR="0051740F" w:rsidRPr="0051740F">
                    <w:trPr>
                      <w:tblCellSpacing w:w="15" w:type="dxa"/>
                      <w:jc w:val="center"/>
                    </w:trPr>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834" w:type="dxa"/>
                          <w:jc w:val="center"/>
                          <w:tblCellSpacing w:w="15" w:type="dxa"/>
                          <w:tblCellMar>
                            <w:top w:w="15" w:type="dxa"/>
                            <w:left w:w="15" w:type="dxa"/>
                            <w:bottom w:w="15" w:type="dxa"/>
                            <w:right w:w="15" w:type="dxa"/>
                          </w:tblCellMar>
                          <w:tblLook w:val="04A0" w:firstRow="1" w:lastRow="0" w:firstColumn="1" w:lastColumn="0" w:noHBand="0" w:noVBand="1"/>
                        </w:tblPr>
                        <w:tblGrid>
                          <w:gridCol w:w="375"/>
                          <w:gridCol w:w="1459"/>
                        </w:tblGrid>
                        <w:tr w:rsidR="0051740F" w:rsidRPr="0051740F">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noProof/>
                                  <w:sz w:val="24"/>
                                  <w:szCs w:val="24"/>
                                </w:rPr>
                                <w:lastRenderedPageBreak/>
                                <w:drawing>
                                  <wp:inline distT="0" distB="0" distL="0" distR="0" wp14:anchorId="770C59AA" wp14:editId="60513680">
                                    <wp:extent cx="209550" cy="142875"/>
                                    <wp:effectExtent l="0" t="0" r="0" b="0"/>
                                    <wp:docPr id="53" name="Picture 53"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pload.wikimedia.org/wikipedia/en/d/d2/Blan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Fatimid Caliphate</w:t>
                              </w:r>
                            </w:p>
                          </w:tc>
                        </w:tr>
                      </w:tbl>
                      <w:p w:rsidR="0051740F" w:rsidRPr="0051740F" w:rsidRDefault="0051740F" w:rsidP="0051740F">
                        <w:pPr>
                          <w:pStyle w:val="NoSpacing"/>
                          <w:rPr>
                            <w:rFonts w:ascii="Times New Roman" w:hAnsi="Times New Roman" w:cs="Times New Roman"/>
                            <w:sz w:val="24"/>
                            <w:szCs w:val="24"/>
                          </w:rPr>
                        </w:pPr>
                      </w:p>
                    </w:tc>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577" w:type="dxa"/>
                          <w:jc w:val="center"/>
                          <w:tblCellSpacing w:w="15" w:type="dxa"/>
                          <w:tblCellMar>
                            <w:top w:w="15" w:type="dxa"/>
                            <w:left w:w="15" w:type="dxa"/>
                            <w:bottom w:w="15" w:type="dxa"/>
                            <w:right w:w="15" w:type="dxa"/>
                          </w:tblCellMar>
                          <w:tblLook w:val="04A0" w:firstRow="1" w:lastRow="0" w:firstColumn="1" w:lastColumn="0" w:noHBand="0" w:noVBand="1"/>
                        </w:tblPr>
                        <w:tblGrid>
                          <w:gridCol w:w="1577"/>
                        </w:tblGrid>
                        <w:tr w:rsidR="0051740F" w:rsidRPr="0051740F">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Ayyubid dynasty</w:t>
                              </w:r>
                            </w:p>
                          </w:tc>
                        </w:tr>
                      </w:tbl>
                      <w:p w:rsidR="0051740F" w:rsidRPr="0051740F" w:rsidRDefault="0051740F" w:rsidP="0051740F">
                        <w:pPr>
                          <w:pStyle w:val="NoSpacing"/>
                          <w:rPr>
                            <w:rFonts w:ascii="Times New Roman" w:hAnsi="Times New Roman" w:cs="Times New Roman"/>
                            <w:sz w:val="24"/>
                            <w:szCs w:val="24"/>
                          </w:rPr>
                        </w:pPr>
                      </w:p>
                    </w:tc>
                  </w:tr>
                </w:tbl>
                <w:p w:rsidR="0051740F" w:rsidRPr="0051740F" w:rsidRDefault="0051740F" w:rsidP="0051740F">
                  <w:pPr>
                    <w:pStyle w:val="NoSpacing"/>
                    <w:rPr>
                      <w:rFonts w:ascii="Times New Roman" w:hAnsi="Times New Roman" w:cs="Times New Roman"/>
                      <w:sz w:val="24"/>
                      <w:szCs w:val="24"/>
                    </w:rPr>
                  </w:pPr>
                </w:p>
              </w:tc>
            </w:tr>
          </w:tbl>
          <w:p w:rsidR="0051740F" w:rsidRPr="0051740F" w:rsidRDefault="0051740F" w:rsidP="0051740F">
            <w:pPr>
              <w:pStyle w:val="NoSpacing"/>
              <w:rPr>
                <w:rFonts w:ascii="Times New Roman" w:hAnsi="Times New Roman" w:cs="Times New Roman"/>
                <w:sz w:val="24"/>
                <w:szCs w:val="24"/>
              </w:rPr>
            </w:pPr>
          </w:p>
        </w:tc>
      </w:tr>
      <w:tr w:rsidR="0051740F" w:rsidRPr="00DF36C9" w:rsidTr="0051740F">
        <w:tc>
          <w:tcPr>
            <w:tcW w:w="9396" w:type="dxa"/>
            <w:shd w:val="clear" w:color="auto" w:fill="FFFF00"/>
          </w:tcPr>
          <w:p w:rsidR="0051740F" w:rsidRPr="00DF36C9" w:rsidRDefault="00DF36C9" w:rsidP="00DF36C9">
            <w:pPr>
              <w:pStyle w:val="NoSpacing"/>
              <w:jc w:val="center"/>
              <w:rPr>
                <w:rFonts w:ascii="Times New Roman" w:hAnsi="Times New Roman" w:cs="Times New Roman"/>
                <w:b/>
                <w:sz w:val="24"/>
                <w:szCs w:val="24"/>
              </w:rPr>
            </w:pPr>
            <w:r w:rsidRPr="00DF36C9">
              <w:rPr>
                <w:rFonts w:ascii="Times New Roman" w:hAnsi="Times New Roman" w:cs="Times New Roman"/>
                <w:b/>
                <w:sz w:val="24"/>
                <w:szCs w:val="24"/>
              </w:rPr>
              <w:lastRenderedPageBreak/>
              <w:t>List of the princes of Galilee</w:t>
            </w:r>
          </w:p>
        </w:tc>
      </w:tr>
      <w:tr w:rsidR="00DF36C9" w:rsidRPr="0051740F" w:rsidTr="0051740F">
        <w:tc>
          <w:tcPr>
            <w:tcW w:w="9396" w:type="dxa"/>
            <w:shd w:val="clear" w:color="auto" w:fill="FFFF00"/>
          </w:tcPr>
          <w:p w:rsidR="00DF36C9" w:rsidRPr="0051740F" w:rsidRDefault="00DF36C9" w:rsidP="0051740F">
            <w:pPr>
              <w:pStyle w:val="NoSpacing"/>
              <w:rPr>
                <w:rFonts w:ascii="Times New Roman" w:hAnsi="Times New Roman" w:cs="Times New Roman"/>
                <w:i/>
                <w:iCs/>
                <w:sz w:val="24"/>
                <w:szCs w:val="24"/>
              </w:rPr>
            </w:pPr>
            <w:r w:rsidRPr="0051740F">
              <w:rPr>
                <w:rFonts w:ascii="Times New Roman" w:hAnsi="Times New Roman" w:cs="Times New Roman"/>
                <w:i/>
                <w:iCs/>
                <w:sz w:val="24"/>
                <w:szCs w:val="24"/>
              </w:rPr>
              <w:t>Italicized names are of titular princes</w:t>
            </w:r>
            <w:r w:rsidRPr="0051740F">
              <w:rPr>
                <w:rFonts w:ascii="Times New Roman" w:hAnsi="Times New Roman" w:cs="Times New Roman"/>
                <w:sz w:val="24"/>
                <w:szCs w:val="24"/>
              </w:rPr>
              <w:t>.</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Tancred (1099–1101)</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Hugh of Fauquembergues (1101–1106)</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Gervaise de Bazoches (1106–1108)</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Tancred, again (1109–1112)</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Joscelin I of Courtenay (1112–1119)</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William I of Bures (1120–1141)</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Elinand (1142–1148)</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William II of Bures (1148–1158)</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Gautier of Saint Omer (1159–1171), first husband of </w:t>
            </w:r>
            <w:hyperlink r:id="rId12" w:tooltip="Eschiva of Bures" w:history="1">
              <w:r w:rsidRPr="0051740F">
                <w:rPr>
                  <w:rFonts w:ascii="Times New Roman" w:hAnsi="Times New Roman" w:cs="Times New Roman"/>
                  <w:sz w:val="24"/>
                  <w:szCs w:val="24"/>
                </w:rPr>
                <w:t>Eschiva of Bures</w:t>
              </w:r>
            </w:hyperlink>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Raymond III of Tripoli (1174–1187) with his wife Eschiva of Bures</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Hugh II of Saint Omer</w:t>
            </w:r>
            <w:r w:rsidRPr="0051740F">
              <w:rPr>
                <w:rFonts w:ascii="Times New Roman" w:hAnsi="Times New Roman" w:cs="Times New Roman"/>
                <w:sz w:val="24"/>
                <w:szCs w:val="24"/>
              </w:rPr>
              <w:t> (1187–1204)</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Raoul of Saint Omer</w:t>
            </w:r>
            <w:r w:rsidRPr="0051740F">
              <w:rPr>
                <w:rFonts w:ascii="Times New Roman" w:hAnsi="Times New Roman" w:cs="Times New Roman"/>
                <w:sz w:val="24"/>
                <w:szCs w:val="24"/>
              </w:rPr>
              <w:t> (1204–1219)</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hyperlink r:id="rId13" w:tooltip="Eschiva of Saint Omer" w:history="1">
              <w:r w:rsidRPr="0051740F">
                <w:rPr>
                  <w:rFonts w:ascii="Times New Roman" w:hAnsi="Times New Roman" w:cs="Times New Roman"/>
                  <w:i/>
                  <w:iCs/>
                  <w:sz w:val="24"/>
                  <w:szCs w:val="24"/>
                </w:rPr>
                <w:t>Eschiva of Saint Omer</w:t>
              </w:r>
            </w:hyperlink>
            <w:r w:rsidRPr="0051740F">
              <w:rPr>
                <w:rFonts w:ascii="Times New Roman" w:hAnsi="Times New Roman" w:cs="Times New Roman"/>
                <w:sz w:val="24"/>
                <w:szCs w:val="24"/>
              </w:rPr>
              <w:t> (1219–after 1265) with her husband </w:t>
            </w:r>
            <w:r w:rsidRPr="0051740F">
              <w:rPr>
                <w:rFonts w:ascii="Times New Roman" w:hAnsi="Times New Roman" w:cs="Times New Roman"/>
                <w:i/>
                <w:iCs/>
                <w:sz w:val="24"/>
                <w:szCs w:val="24"/>
              </w:rPr>
              <w:t>Odo of Montbéliard</w:t>
            </w:r>
            <w:r w:rsidRPr="0051740F">
              <w:rPr>
                <w:rFonts w:ascii="Times New Roman" w:hAnsi="Times New Roman" w:cs="Times New Roman"/>
                <w:sz w:val="24"/>
                <w:szCs w:val="24"/>
              </w:rPr>
              <w:t> (1219–1247); 1240–1247 as ruling Princes</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Balian d'Ibelin</w:t>
            </w:r>
            <w:r w:rsidRPr="0051740F">
              <w:rPr>
                <w:rFonts w:ascii="Times New Roman" w:hAnsi="Times New Roman" w:cs="Times New Roman"/>
                <w:sz w:val="24"/>
                <w:szCs w:val="24"/>
              </w:rPr>
              <w:t> (?–1316), Prince of Galilee and Bethlehem, son of Philip of Ibelin (died 1304) (?–1316)</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Bohemund of Lusignan</w:t>
            </w:r>
            <w:r w:rsidRPr="0051740F">
              <w:rPr>
                <w:rFonts w:ascii="Times New Roman" w:hAnsi="Times New Roman" w:cs="Times New Roman"/>
                <w:sz w:val="24"/>
                <w:szCs w:val="24"/>
              </w:rPr>
              <w:t> (c. 1280)</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Guy of Lusignan</w:t>
            </w:r>
            <w:r w:rsidRPr="0051740F">
              <w:rPr>
                <w:rFonts w:ascii="Times New Roman" w:hAnsi="Times New Roman" w:cs="Times New Roman"/>
                <w:sz w:val="24"/>
                <w:szCs w:val="24"/>
              </w:rPr>
              <w:t> (c. 1320–1343), son of Hugh IV of Cyprus</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Hugh of Lusignan</w:t>
            </w:r>
            <w:r w:rsidRPr="0051740F">
              <w:rPr>
                <w:rFonts w:ascii="Times New Roman" w:hAnsi="Times New Roman" w:cs="Times New Roman"/>
                <w:sz w:val="24"/>
                <w:szCs w:val="24"/>
              </w:rPr>
              <w:t> (1343–1386), son of Guy of Lusignan</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John of Brie</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Henry of Lusignan</w:t>
            </w:r>
            <w:r w:rsidRPr="0051740F">
              <w:rPr>
                <w:rFonts w:ascii="Times New Roman" w:hAnsi="Times New Roman" w:cs="Times New Roman"/>
                <w:sz w:val="24"/>
                <w:szCs w:val="24"/>
              </w:rPr>
              <w:t> (?–1427), son of James I of Cyprus</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Philippe of Lusignan</w:t>
            </w:r>
            <w:r w:rsidRPr="0051740F">
              <w:rPr>
                <w:rFonts w:ascii="Times New Roman" w:hAnsi="Times New Roman" w:cs="Times New Roman"/>
                <w:sz w:val="24"/>
                <w:szCs w:val="24"/>
              </w:rPr>
              <w:t> (?–ca 1466), son of Henry of Lusignan</w:t>
            </w:r>
          </w:p>
        </w:tc>
      </w:tr>
      <w:tr w:rsidR="0051740F" w:rsidRPr="00DF36C9" w:rsidTr="0051740F">
        <w:tc>
          <w:tcPr>
            <w:tcW w:w="9396" w:type="dxa"/>
            <w:shd w:val="clear" w:color="auto" w:fill="FFFF00"/>
          </w:tcPr>
          <w:p w:rsidR="0051740F" w:rsidRPr="00DF36C9" w:rsidRDefault="0051740F" w:rsidP="00DF36C9">
            <w:pPr>
              <w:pStyle w:val="NoSpacing"/>
              <w:jc w:val="center"/>
              <w:rPr>
                <w:rFonts w:ascii="Times New Roman" w:hAnsi="Times New Roman" w:cs="Times New Roman"/>
                <w:b/>
                <w:sz w:val="24"/>
                <w:szCs w:val="24"/>
              </w:rPr>
            </w:pPr>
            <w:r w:rsidRPr="00DF36C9">
              <w:rPr>
                <w:rFonts w:ascii="Times New Roman" w:hAnsi="Times New Roman" w:cs="Times New Roman"/>
                <w:b/>
                <w:sz w:val="24"/>
                <w:szCs w:val="24"/>
              </w:rPr>
              <w:t>Lordship of Beirut</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Beirut was captured in 1110 and given to Fulk of Guînes. It was one of the longest-lived seigneuries, surviving until the final collapse of the kingdom in 1291 (although only as a tiny strip on the Mediterranean coast surrounding the city). Beirut additionally held a role in European trade and even had its own sub-vassals.</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Italicized names are of titular lords.</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Fulk of Guînes (1110–1117)</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Peter</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Walter I Brisebarre (1125?–1166)</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Andronicus I Comnenus (1166–?)</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Walter II Brisebarre, 1149–1156</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Guy II Brisebarre, 1156–1164</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Walter III Brisebarre, 1164–1166</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Beirut occupied by Ayyubids,</w:t>
            </w:r>
            <w:r w:rsidRPr="0051740F">
              <w:rPr>
                <w:rFonts w:ascii="Times New Roman" w:hAnsi="Times New Roman" w:cs="Times New Roman"/>
                <w:sz w:val="24"/>
                <w:szCs w:val="24"/>
              </w:rPr>
              <w:t> 1187–1198</w:t>
            </w:r>
          </w:p>
        </w:tc>
      </w:tr>
      <w:tr w:rsidR="0051740F" w:rsidRPr="0051740F" w:rsidTr="0051740F">
        <w:tc>
          <w:tcPr>
            <w:tcW w:w="9396" w:type="dxa"/>
            <w:shd w:val="clear" w:color="auto" w:fill="FFFF00"/>
          </w:tcPr>
          <w:p w:rsidR="0051740F" w:rsidRPr="0051740F" w:rsidRDefault="0051740F" w:rsidP="00DF36C9">
            <w:pPr>
              <w:pStyle w:val="NoSpacing"/>
              <w:rPr>
                <w:rFonts w:ascii="Times New Roman" w:hAnsi="Times New Roman" w:cs="Times New Roman"/>
                <w:sz w:val="24"/>
                <w:szCs w:val="24"/>
              </w:rPr>
            </w:pPr>
            <w:hyperlink r:id="rId14" w:tooltip="John of Ibelin, the Old Lord of Beirut" w:history="1">
              <w:r w:rsidRPr="0051740F">
                <w:rPr>
                  <w:rFonts w:ascii="Times New Roman" w:hAnsi="Times New Roman" w:cs="Times New Roman"/>
                  <w:sz w:val="24"/>
                  <w:szCs w:val="24"/>
                </w:rPr>
                <w:t>John of Ibelin</w:t>
              </w:r>
            </w:hyperlink>
            <w:r w:rsidRPr="0051740F">
              <w:rPr>
                <w:rFonts w:ascii="Times New Roman" w:hAnsi="Times New Roman" w:cs="Times New Roman"/>
                <w:sz w:val="24"/>
                <w:szCs w:val="24"/>
              </w:rPr>
              <w:t> (c. 1200–1236)</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Balian III d'Ibelin (1236–1247), Lord of Beirut, Constable of Cyprus, Bailiff of Jerusalem; son of John of Ibelin, the Old Lord of Beirut</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lastRenderedPageBreak/>
              <w:t>John of Ibelin (1247–1264)</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Isabella of Ibelin (1264–1282) m1.(or only engaged) Hugh II of Cyprus m2. Hamo LeStrange m3. Nicolas l'Aleman m4. Guillaume Barlais</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Eschiva of Ibelin (1282–1291, titular 1291–1312) m1. Humphrey of Montfort m2. Guy of Lusignan</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Rupen of Montfort</w:t>
            </w:r>
            <w:r w:rsidRPr="0051740F">
              <w:rPr>
                <w:rFonts w:ascii="Times New Roman" w:hAnsi="Times New Roman" w:cs="Times New Roman"/>
                <w:sz w:val="24"/>
                <w:szCs w:val="24"/>
              </w:rPr>
              <w:t> (1312–1313)</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Guy of Ibelin</w:t>
            </w:r>
            <w:r w:rsidRPr="0051740F">
              <w:rPr>
                <w:rFonts w:ascii="Times New Roman" w:hAnsi="Times New Roman" w:cs="Times New Roman"/>
                <w:sz w:val="24"/>
                <w:szCs w:val="24"/>
              </w:rPr>
              <w:t> (c. 1330)</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John of Lusignan</w:t>
            </w:r>
            <w:r w:rsidRPr="0051740F">
              <w:rPr>
                <w:rFonts w:ascii="Times New Roman" w:hAnsi="Times New Roman" w:cs="Times New Roman"/>
                <w:sz w:val="24"/>
                <w:szCs w:val="24"/>
              </w:rPr>
              <w:t> (1384–?)</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John of Lusignan</w:t>
            </w:r>
            <w:r w:rsidRPr="0051740F">
              <w:rPr>
                <w:rFonts w:ascii="Times New Roman" w:hAnsi="Times New Roman" w:cs="Times New Roman"/>
                <w:sz w:val="24"/>
                <w:szCs w:val="24"/>
              </w:rPr>
              <w:t> (?–c. 1456)</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The sub-vassals of Beirut were the Lordship of Banias and the Lordship of Toron.</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Sub-vassals of Beirut</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Lordship of Banias</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Banias was given to the Franks by the Assassins in 1129. Baldwin gave it to Renier Brus, who also ruled the lordship of Assebebe, which was eventually merged with Banias. Renier's daughter married Humphrey II of Toron, who became lord of Banias around 1148. He sold parts of Banias and Chastel Neuf to the Knights Hospitaller in 1157. Banias was merged with Toron until it fell to Nur ad-Din Zangi in 1164, and when it was recovered it became part of the Seigneury of Joscelin III of Edessa (see below).</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Renier Brus (1128–1148)</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Humphrey II of Toron (1148–1164)</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Joscelin III of Edessa ?</w:t>
            </w:r>
          </w:p>
        </w:tc>
      </w:tr>
      <w:tr w:rsidR="0051740F" w:rsidRPr="00DF36C9" w:rsidTr="0051740F">
        <w:tc>
          <w:tcPr>
            <w:tcW w:w="9396" w:type="dxa"/>
            <w:shd w:val="clear" w:color="auto" w:fill="FFFF00"/>
          </w:tcPr>
          <w:p w:rsidR="0051740F" w:rsidRPr="00DF36C9" w:rsidRDefault="0051740F" w:rsidP="00DF36C9">
            <w:pPr>
              <w:pStyle w:val="NoSpacing"/>
              <w:jc w:val="center"/>
              <w:rPr>
                <w:rFonts w:ascii="Times New Roman" w:hAnsi="Times New Roman" w:cs="Times New Roman"/>
                <w:b/>
                <w:sz w:val="24"/>
                <w:szCs w:val="24"/>
              </w:rPr>
            </w:pPr>
            <w:r w:rsidRPr="00DF36C9">
              <w:rPr>
                <w:rFonts w:ascii="Times New Roman" w:hAnsi="Times New Roman" w:cs="Times New Roman"/>
                <w:b/>
                <w:sz w:val="24"/>
                <w:szCs w:val="24"/>
              </w:rPr>
              <w:t>Lordship of Toron</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The castle of Toron was built by Hugh of St. Omer, second prince of Galilee, to help capture Tyre. After Hugh's death it was made an independent seigneury, given to Humphrey I in 1107. The lords of Toron tended to be very influential in the kingdom; Humphrey II was constable of Jerusalem. Humphrey IV was married to Isabella of Jerusalem, Amalric I's daughter (Toron passed into the </w:t>
            </w:r>
            <w:r w:rsidRPr="0051740F">
              <w:rPr>
                <w:rFonts w:ascii="Times New Roman" w:hAnsi="Times New Roman" w:cs="Times New Roman"/>
                <w:i/>
                <w:iCs/>
                <w:sz w:val="24"/>
                <w:szCs w:val="24"/>
              </w:rPr>
              <w:t>royal domain</w:t>
            </w:r>
            <w:r w:rsidRPr="0051740F">
              <w:rPr>
                <w:rFonts w:ascii="Times New Roman" w:hAnsi="Times New Roman" w:cs="Times New Roman"/>
                <w:sz w:val="24"/>
                <w:szCs w:val="24"/>
              </w:rPr>
              <w:t> during their marriage, and was then captured by Saladin, but its title was returned to Humphrey IV after their divorce). It was also one of the few to have a straight hereditary succession in male line, at least for some generations. The lords of Toron were also connected to the Lordship of Oultrejordain by the marriage of Humphrey III and the maternal inheritance of Humphrey IV. Toron was later merged with the royal domain of Tyre which went to a branch of Antioch, then their heirs from Montfort. Toron was lost in 1266.</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Toron had two vassals of its own, the Lordship of Castel Neuf and the Lordship of Toron Ahmud. Chastel Neuf was built by Hugh of St. Omer around 1105 but was later given to the Hospitallers, until it fell to Nur ad-Din in 1167. Toron Ahmud remained in the Lordship of Beirut until John of Ibelin sold it to the Teutonic Knights in 1261.</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For a fuller account of the lordship and the feudal family, see Toron.</w:t>
            </w:r>
          </w:p>
        </w:tc>
      </w:tr>
      <w:tr w:rsidR="0051740F" w:rsidRPr="00DF36C9" w:rsidTr="0051740F">
        <w:tc>
          <w:tcPr>
            <w:tcW w:w="9396" w:type="dxa"/>
            <w:shd w:val="clear" w:color="auto" w:fill="FFFF00"/>
          </w:tcPr>
          <w:p w:rsidR="0051740F" w:rsidRPr="00DF36C9" w:rsidRDefault="0051740F" w:rsidP="00DF36C9">
            <w:pPr>
              <w:pStyle w:val="NoSpacing"/>
              <w:jc w:val="center"/>
              <w:rPr>
                <w:rFonts w:ascii="Times New Roman" w:hAnsi="Times New Roman" w:cs="Times New Roman"/>
                <w:b/>
                <w:sz w:val="24"/>
                <w:szCs w:val="24"/>
              </w:rPr>
            </w:pPr>
            <w:r w:rsidRPr="00DF36C9">
              <w:rPr>
                <w:rFonts w:ascii="Times New Roman" w:hAnsi="Times New Roman" w:cs="Times New Roman"/>
                <w:b/>
                <w:sz w:val="24"/>
                <w:szCs w:val="24"/>
              </w:rPr>
              <w:t>Lordship of Nazareth</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Nazareth was the original site of the Latin Patriarch, established by Tancred. It was created as a seigneury in Galilee in 1115. A Martin of Nazareth, who probably acted as viscount of Nazareth, is documented in 1115 and in 1130/1131.</w:t>
            </w:r>
            <w:hyperlink r:id="rId15" w:anchor="cite_note-4" w:history="1">
              <w:r w:rsidRPr="0051740F">
                <w:rPr>
                  <w:rFonts w:ascii="Times New Roman" w:hAnsi="Times New Roman" w:cs="Times New Roman"/>
                  <w:sz w:val="24"/>
                  <w:szCs w:val="24"/>
                  <w:vertAlign w:val="superscript"/>
                </w:rPr>
                <w:t>[4]</w:t>
              </w:r>
            </w:hyperlink>
          </w:p>
        </w:tc>
      </w:tr>
      <w:tr w:rsidR="0051740F" w:rsidRPr="00DF36C9" w:rsidTr="0051740F">
        <w:tc>
          <w:tcPr>
            <w:tcW w:w="9396" w:type="dxa"/>
            <w:shd w:val="clear" w:color="auto" w:fill="FFFF00"/>
          </w:tcPr>
          <w:p w:rsidR="0051740F" w:rsidRPr="00DF36C9" w:rsidRDefault="0051740F" w:rsidP="00DF36C9">
            <w:pPr>
              <w:pStyle w:val="NoSpacing"/>
              <w:jc w:val="center"/>
              <w:rPr>
                <w:rFonts w:ascii="Times New Roman" w:hAnsi="Times New Roman" w:cs="Times New Roman"/>
                <w:b/>
                <w:sz w:val="24"/>
                <w:szCs w:val="24"/>
              </w:rPr>
            </w:pPr>
            <w:r w:rsidRPr="00DF36C9">
              <w:rPr>
                <w:rFonts w:ascii="Times New Roman" w:hAnsi="Times New Roman" w:cs="Times New Roman"/>
                <w:b/>
                <w:sz w:val="24"/>
                <w:szCs w:val="24"/>
              </w:rPr>
              <w:t>Lordship of Haifa</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Haifa was partly an ecclesiastical domain ruled by the Archbishop of Nazareth, and partly created from other lands in the Principality of Galilee.</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Geldemar Carpenel (1100–1101)</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Tancred (1101–1103)</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lastRenderedPageBreak/>
              <w:t>Rorgius (1103–1107)</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Pagan (1107–1112)</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i/>
                <w:iCs/>
                <w:sz w:val="24"/>
                <w:szCs w:val="24"/>
              </w:rPr>
              <w:t>royal domain (1112–1190</w:t>
            </w:r>
            <w:r w:rsidRPr="0051740F">
              <w:rPr>
                <w:rFonts w:ascii="Times New Roman" w:hAnsi="Times New Roman" w:cs="Times New Roman"/>
                <w:sz w:val="24"/>
                <w:szCs w:val="24"/>
              </w:rPr>
              <w:t>)</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Vivian (c. 1140s)</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Pagan (1190–?)</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Rorgius II (?–1244?)</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Helvis</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García Álvarez (c. 1250)</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John of Valenciennes (1257–1265)</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Gilles d'Estrain</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Miles ?</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Geoffrey</w:t>
            </w:r>
          </w:p>
        </w:tc>
      </w:tr>
      <w:tr w:rsidR="0051740F" w:rsidRPr="0051740F" w:rsidTr="0051740F">
        <w:tc>
          <w:tcPr>
            <w:tcW w:w="9396" w:type="dxa"/>
            <w:shd w:val="clear" w:color="auto" w:fill="FFFF00"/>
          </w:tcPr>
          <w:p w:rsidR="0051740F" w:rsidRPr="0051740F" w:rsidRDefault="0051740F" w:rsidP="0051740F">
            <w:pPr>
              <w:pStyle w:val="NoSpacing"/>
              <w:rPr>
                <w:rFonts w:ascii="Times New Roman" w:hAnsi="Times New Roman" w:cs="Times New Roman"/>
                <w:sz w:val="24"/>
                <w:szCs w:val="24"/>
              </w:rPr>
            </w:pPr>
            <w:r w:rsidRPr="0051740F">
              <w:rPr>
                <w:rFonts w:ascii="Times New Roman" w:hAnsi="Times New Roman" w:cs="Times New Roman"/>
                <w:sz w:val="24"/>
                <w:szCs w:val="24"/>
              </w:rPr>
              <w:t>Gilles II</w:t>
            </w:r>
          </w:p>
        </w:tc>
      </w:tr>
    </w:tbl>
    <w:p w:rsidR="000E1298" w:rsidRDefault="00472E64" w:rsidP="0051740F"/>
    <w:p w:rsidR="00DF36C9" w:rsidRDefault="00DF36C9" w:rsidP="00DF36C9"/>
    <w:p w:rsidR="00DF36C9" w:rsidRDefault="00DF36C9" w:rsidP="00DF36C9">
      <w:pPr>
        <w:jc w:val="center"/>
        <w:rPr>
          <w:rFonts w:ascii="Arial" w:hAnsi="Arial" w:cs="Arial"/>
          <w:color w:val="0000CC"/>
          <w:sz w:val="15"/>
          <w:szCs w:val="15"/>
        </w:rPr>
      </w:pP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6" r:href="rId17"/>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p>
    <w:p w:rsidR="00DF36C9" w:rsidRDefault="00DF36C9" w:rsidP="00DF36C9">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DF36C9" w:rsidRPr="00205110" w:rsidTr="00250338">
        <w:tc>
          <w:tcPr>
            <w:tcW w:w="1838" w:type="dxa"/>
            <w:shd w:val="clear" w:color="auto" w:fill="00B050"/>
          </w:tcPr>
          <w:p w:rsidR="00DF36C9" w:rsidRPr="00205110" w:rsidRDefault="00DF36C9" w:rsidP="00250338">
            <w:pPr>
              <w:jc w:val="center"/>
              <w:rPr>
                <w:b/>
              </w:rPr>
            </w:pPr>
            <w:r w:rsidRPr="00205110">
              <w:rPr>
                <w:b/>
              </w:rPr>
              <w:t>C</w:t>
            </w:r>
            <w:r w:rsidRPr="00205110">
              <w:rPr>
                <w:b/>
                <w:lang w:val="en"/>
              </w:rPr>
              <w:t>ompiler FLN</w:t>
            </w:r>
          </w:p>
        </w:tc>
      </w:tr>
    </w:tbl>
    <w:p w:rsidR="00DF36C9" w:rsidRDefault="00DF36C9" w:rsidP="0051740F">
      <w:bookmarkStart w:id="0" w:name="_GoBack"/>
      <w:bookmarkEnd w:id="0"/>
    </w:p>
    <w:sectPr w:rsidR="00DF36C9">
      <w:headerReference w:type="default" r:id="rId1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64" w:rsidRDefault="00472E64" w:rsidP="00DF36C9">
      <w:pPr>
        <w:spacing w:after="0" w:line="240" w:lineRule="auto"/>
      </w:pPr>
      <w:r>
        <w:separator/>
      </w:r>
    </w:p>
  </w:endnote>
  <w:endnote w:type="continuationSeparator" w:id="0">
    <w:p w:rsidR="00472E64" w:rsidRDefault="00472E64" w:rsidP="00DF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64" w:rsidRDefault="00472E64" w:rsidP="00DF36C9">
      <w:pPr>
        <w:spacing w:after="0" w:line="240" w:lineRule="auto"/>
      </w:pPr>
      <w:r>
        <w:separator/>
      </w:r>
    </w:p>
  </w:footnote>
  <w:footnote w:type="continuationSeparator" w:id="0">
    <w:p w:rsidR="00472E64" w:rsidRDefault="00472E64" w:rsidP="00DF3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368933"/>
      <w:docPartObj>
        <w:docPartGallery w:val="Page Numbers (Top of Page)"/>
        <w:docPartUnique/>
      </w:docPartObj>
    </w:sdtPr>
    <w:sdtEndPr>
      <w:rPr>
        <w:noProof/>
      </w:rPr>
    </w:sdtEndPr>
    <w:sdtContent>
      <w:p w:rsidR="00DF36C9" w:rsidRDefault="00DF36C9">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DF36C9" w:rsidRDefault="00DF3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21F7E"/>
    <w:multiLevelType w:val="multilevel"/>
    <w:tmpl w:val="B6EC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EE2568"/>
    <w:multiLevelType w:val="multilevel"/>
    <w:tmpl w:val="8ED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9878DC"/>
    <w:multiLevelType w:val="multilevel"/>
    <w:tmpl w:val="AFB6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374A6A"/>
    <w:multiLevelType w:val="multilevel"/>
    <w:tmpl w:val="207CB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E4"/>
    <w:rsid w:val="00117847"/>
    <w:rsid w:val="00472E64"/>
    <w:rsid w:val="004C35BA"/>
    <w:rsid w:val="0051740F"/>
    <w:rsid w:val="00A713E4"/>
    <w:rsid w:val="00D8681C"/>
    <w:rsid w:val="00DF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DB60"/>
  <w15:chartTrackingRefBased/>
  <w15:docId w15:val="{FBF38362-7FA8-4B74-B0D3-0E732BE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740F"/>
    <w:pPr>
      <w:spacing w:after="0" w:line="240" w:lineRule="auto"/>
    </w:pPr>
  </w:style>
  <w:style w:type="paragraph" w:styleId="Header">
    <w:name w:val="header"/>
    <w:basedOn w:val="Normal"/>
    <w:link w:val="HeaderChar"/>
    <w:uiPriority w:val="99"/>
    <w:unhideWhenUsed/>
    <w:rsid w:val="00DF36C9"/>
    <w:pPr>
      <w:tabs>
        <w:tab w:val="center" w:pos="4703"/>
        <w:tab w:val="right" w:pos="9406"/>
      </w:tabs>
      <w:spacing w:after="0" w:line="240" w:lineRule="auto"/>
    </w:pPr>
  </w:style>
  <w:style w:type="character" w:customStyle="1" w:styleId="HeaderChar">
    <w:name w:val="Header Char"/>
    <w:basedOn w:val="DefaultParagraphFont"/>
    <w:link w:val="Header"/>
    <w:uiPriority w:val="99"/>
    <w:rsid w:val="00DF36C9"/>
  </w:style>
  <w:style w:type="paragraph" w:styleId="Footer">
    <w:name w:val="footer"/>
    <w:basedOn w:val="Normal"/>
    <w:link w:val="FooterChar"/>
    <w:uiPriority w:val="99"/>
    <w:unhideWhenUsed/>
    <w:rsid w:val="00DF36C9"/>
    <w:pPr>
      <w:tabs>
        <w:tab w:val="center" w:pos="4703"/>
        <w:tab w:val="right" w:pos="9406"/>
      </w:tabs>
      <w:spacing w:after="0" w:line="240" w:lineRule="auto"/>
    </w:pPr>
  </w:style>
  <w:style w:type="character" w:customStyle="1" w:styleId="FooterChar">
    <w:name w:val="Footer Char"/>
    <w:basedOn w:val="DefaultParagraphFont"/>
    <w:link w:val="Footer"/>
    <w:uiPriority w:val="99"/>
    <w:rsid w:val="00DF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1061">
      <w:bodyDiv w:val="1"/>
      <w:marLeft w:val="0"/>
      <w:marRight w:val="0"/>
      <w:marTop w:val="0"/>
      <w:marBottom w:val="0"/>
      <w:divBdr>
        <w:top w:val="none" w:sz="0" w:space="0" w:color="auto"/>
        <w:left w:val="none" w:sz="0" w:space="0" w:color="auto"/>
        <w:bottom w:val="none" w:sz="0" w:space="0" w:color="auto"/>
        <w:right w:val="none" w:sz="0" w:space="0" w:color="auto"/>
      </w:divBdr>
    </w:div>
    <w:div w:id="623578581">
      <w:bodyDiv w:val="1"/>
      <w:marLeft w:val="0"/>
      <w:marRight w:val="0"/>
      <w:marTop w:val="0"/>
      <w:marBottom w:val="0"/>
      <w:divBdr>
        <w:top w:val="none" w:sz="0" w:space="0" w:color="auto"/>
        <w:left w:val="none" w:sz="0" w:space="0" w:color="auto"/>
        <w:bottom w:val="none" w:sz="0" w:space="0" w:color="auto"/>
        <w:right w:val="none" w:sz="0" w:space="0" w:color="auto"/>
      </w:divBdr>
      <w:divsChild>
        <w:div w:id="1298336921">
          <w:marLeft w:val="0"/>
          <w:marRight w:val="0"/>
          <w:marTop w:val="0"/>
          <w:marBottom w:val="0"/>
          <w:divBdr>
            <w:top w:val="none" w:sz="0" w:space="0" w:color="auto"/>
            <w:left w:val="none" w:sz="0" w:space="0" w:color="auto"/>
            <w:bottom w:val="none" w:sz="0" w:space="0" w:color="auto"/>
            <w:right w:val="none" w:sz="0" w:space="0" w:color="auto"/>
          </w:divBdr>
        </w:div>
        <w:div w:id="1641568672">
          <w:marLeft w:val="0"/>
          <w:marRight w:val="0"/>
          <w:marTop w:val="0"/>
          <w:marBottom w:val="0"/>
          <w:divBdr>
            <w:top w:val="none" w:sz="0" w:space="0" w:color="auto"/>
            <w:left w:val="none" w:sz="0" w:space="0" w:color="auto"/>
            <w:bottom w:val="none" w:sz="0" w:space="0" w:color="auto"/>
            <w:right w:val="none" w:sz="0" w:space="0" w:color="auto"/>
          </w:divBdr>
          <w:divsChild>
            <w:div w:id="1236158939">
              <w:marLeft w:val="0"/>
              <w:marRight w:val="0"/>
              <w:marTop w:val="0"/>
              <w:marBottom w:val="0"/>
              <w:divBdr>
                <w:top w:val="none" w:sz="0" w:space="0" w:color="auto"/>
                <w:left w:val="none" w:sz="0" w:space="0" w:color="auto"/>
                <w:bottom w:val="none" w:sz="0" w:space="0" w:color="auto"/>
                <w:right w:val="none" w:sz="0" w:space="0" w:color="auto"/>
              </w:divBdr>
            </w:div>
          </w:divsChild>
        </w:div>
        <w:div w:id="2119448639">
          <w:marLeft w:val="0"/>
          <w:marRight w:val="0"/>
          <w:marTop w:val="0"/>
          <w:marBottom w:val="0"/>
          <w:divBdr>
            <w:top w:val="none" w:sz="0" w:space="0" w:color="auto"/>
            <w:left w:val="none" w:sz="0" w:space="0" w:color="auto"/>
            <w:bottom w:val="none" w:sz="0" w:space="0" w:color="auto"/>
            <w:right w:val="none" w:sz="0" w:space="0" w:color="auto"/>
          </w:divBdr>
        </w:div>
        <w:div w:id="1945646791">
          <w:marLeft w:val="0"/>
          <w:marRight w:val="0"/>
          <w:marTop w:val="0"/>
          <w:marBottom w:val="0"/>
          <w:divBdr>
            <w:top w:val="none" w:sz="0" w:space="0" w:color="auto"/>
            <w:left w:val="none" w:sz="0" w:space="0" w:color="auto"/>
            <w:bottom w:val="none" w:sz="0" w:space="0" w:color="auto"/>
            <w:right w:val="none" w:sz="0" w:space="0" w:color="auto"/>
          </w:divBdr>
        </w:div>
        <w:div w:id="164592158">
          <w:marLeft w:val="288"/>
          <w:marRight w:val="0"/>
          <w:marTop w:val="0"/>
          <w:marBottom w:val="0"/>
          <w:divBdr>
            <w:top w:val="none" w:sz="0" w:space="0" w:color="auto"/>
            <w:left w:val="none" w:sz="0" w:space="0" w:color="auto"/>
            <w:bottom w:val="none" w:sz="0" w:space="0" w:color="auto"/>
            <w:right w:val="none" w:sz="0" w:space="0" w:color="auto"/>
          </w:divBdr>
        </w:div>
        <w:div w:id="2126462663">
          <w:marLeft w:val="288"/>
          <w:marRight w:val="0"/>
          <w:marTop w:val="0"/>
          <w:marBottom w:val="0"/>
          <w:divBdr>
            <w:top w:val="none" w:sz="0" w:space="0" w:color="auto"/>
            <w:left w:val="none" w:sz="0" w:space="0" w:color="auto"/>
            <w:bottom w:val="none" w:sz="0" w:space="0" w:color="auto"/>
            <w:right w:val="none" w:sz="0" w:space="0" w:color="auto"/>
          </w:divBdr>
        </w:div>
        <w:div w:id="1657757339">
          <w:marLeft w:val="288"/>
          <w:marRight w:val="0"/>
          <w:marTop w:val="0"/>
          <w:marBottom w:val="0"/>
          <w:divBdr>
            <w:top w:val="none" w:sz="0" w:space="0" w:color="auto"/>
            <w:left w:val="none" w:sz="0" w:space="0" w:color="auto"/>
            <w:bottom w:val="none" w:sz="0" w:space="0" w:color="auto"/>
            <w:right w:val="none" w:sz="0" w:space="0" w:color="auto"/>
          </w:divBdr>
        </w:div>
        <w:div w:id="157238183">
          <w:marLeft w:val="288"/>
          <w:marRight w:val="0"/>
          <w:marTop w:val="0"/>
          <w:marBottom w:val="0"/>
          <w:divBdr>
            <w:top w:val="none" w:sz="0" w:space="0" w:color="auto"/>
            <w:left w:val="none" w:sz="0" w:space="0" w:color="auto"/>
            <w:bottom w:val="none" w:sz="0" w:space="0" w:color="auto"/>
            <w:right w:val="none" w:sz="0" w:space="0" w:color="auto"/>
          </w:divBdr>
        </w:div>
      </w:divsChild>
    </w:div>
    <w:div w:id="13955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Eschiva_of_Saint_Ome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File:Vexillum_Regni_Hierosolymae.svg" TargetMode="External"/><Relationship Id="rId12" Type="http://schemas.openxmlformats.org/officeDocument/2006/relationships/hyperlink" Target="https://en.wikipedia.org/wiki/Eschiva_of_Bures" TargetMode="External"/><Relationship Id="rId17" Type="http://schemas.openxmlformats.org/officeDocument/2006/relationships/image" Target="http://t0.gstatic.com/images?q=tbn:ANd9GcTDT1jpfS6n_Y4NmsXFnf0dV2uAk854tEHeOSaIXPxUCt7qxHu5xaSaZA"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en.wikipedia.org/wiki/Principality_of_Galile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ile:Principado_de_Galileen.jpg" TargetMode="External"/><Relationship Id="rId14" Type="http://schemas.openxmlformats.org/officeDocument/2006/relationships/hyperlink" Target="https://en.wikipedia.org/wiki/John_of_Ibelin,_the_Old_Lord_of_Beir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3</cp:revision>
  <dcterms:created xsi:type="dcterms:W3CDTF">2024-06-19T04:05:00Z</dcterms:created>
  <dcterms:modified xsi:type="dcterms:W3CDTF">2024-06-19T17:36:00Z</dcterms:modified>
</cp:coreProperties>
</file>